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1A" w:rsidRDefault="005C3E89">
      <w:pPr>
        <w:pStyle w:val="Standard"/>
        <w:jc w:val="center"/>
      </w:pPr>
      <w:bookmarkStart w:id="0" w:name="_GoBack"/>
      <w:bookmarkEnd w:id="0"/>
      <w:r>
        <w:rPr>
          <w:rFonts w:ascii="Times New Roman" w:eastAsia="標楷體" w:hAnsi="Times New Roman" w:cs="Times New Roman"/>
          <w:b/>
          <w:sz w:val="28"/>
        </w:rPr>
        <w:t>國立勤益科技大學人文創意學院</w:t>
      </w:r>
      <w:r>
        <w:rPr>
          <w:rFonts w:ascii="Times New Roman" w:eastAsia="標楷體" w:hAnsi="Times New Roman" w:cs="Times New Roman"/>
          <w:b/>
          <w:sz w:val="28"/>
        </w:rPr>
        <w:t>USR</w:t>
      </w:r>
      <w:r>
        <w:rPr>
          <w:rFonts w:ascii="Times New Roman" w:eastAsia="標楷體" w:hAnsi="Times New Roman" w:cs="Times New Roman"/>
          <w:b/>
          <w:sz w:val="28"/>
        </w:rPr>
        <w:t>跨領域學分學程施行細則</w:t>
      </w:r>
    </w:p>
    <w:p w:rsidR="00D37F1A" w:rsidRDefault="005C3E89">
      <w:pPr>
        <w:pStyle w:val="Standard"/>
        <w:spacing w:line="400" w:lineRule="exact"/>
        <w:jc w:val="right"/>
      </w:pPr>
      <w:r>
        <w:rPr>
          <w:rFonts w:ascii="標楷體" w:eastAsia="標楷體" w:hAnsi="標楷體"/>
          <w:sz w:val="20"/>
          <w:szCs w:val="20"/>
        </w:rPr>
        <w:t>112</w:t>
      </w:r>
      <w:r>
        <w:rPr>
          <w:rFonts w:ascii="標楷體" w:eastAsia="標楷體" w:hAnsi="標楷體"/>
          <w:sz w:val="20"/>
          <w:szCs w:val="20"/>
        </w:rPr>
        <w:t>年</w:t>
      </w:r>
      <w:r>
        <w:rPr>
          <w:rFonts w:ascii="標楷體" w:eastAsia="標楷體" w:hAnsi="標楷體"/>
          <w:sz w:val="20"/>
          <w:szCs w:val="20"/>
        </w:rPr>
        <w:t>12</w:t>
      </w:r>
      <w:r>
        <w:rPr>
          <w:rFonts w:ascii="標楷體" w:eastAsia="標楷體" w:hAnsi="標楷體"/>
          <w:sz w:val="20"/>
          <w:szCs w:val="20"/>
        </w:rPr>
        <w:t>月</w:t>
      </w:r>
      <w:r>
        <w:rPr>
          <w:rFonts w:ascii="標楷體" w:eastAsia="標楷體" w:hAnsi="標楷體"/>
          <w:sz w:val="20"/>
          <w:szCs w:val="20"/>
        </w:rPr>
        <w:t>21</w:t>
      </w:r>
      <w:r>
        <w:rPr>
          <w:rFonts w:ascii="標楷體" w:eastAsia="標楷體" w:hAnsi="標楷體"/>
          <w:sz w:val="20"/>
          <w:szCs w:val="20"/>
        </w:rPr>
        <w:t>日</w:t>
      </w:r>
      <w:r>
        <w:rPr>
          <w:rFonts w:ascii="標楷體" w:eastAsia="標楷體" w:hAnsi="標楷體"/>
          <w:sz w:val="20"/>
          <w:szCs w:val="20"/>
        </w:rPr>
        <w:t>112</w:t>
      </w:r>
      <w:r>
        <w:rPr>
          <w:rFonts w:ascii="標楷體" w:eastAsia="標楷體" w:hAnsi="標楷體"/>
          <w:sz w:val="20"/>
          <w:szCs w:val="20"/>
        </w:rPr>
        <w:t>學年度第</w:t>
      </w:r>
      <w:r>
        <w:rPr>
          <w:rFonts w:ascii="標楷體" w:eastAsia="標楷體" w:hAnsi="標楷體"/>
          <w:sz w:val="20"/>
          <w:szCs w:val="20"/>
        </w:rPr>
        <w:t>1</w:t>
      </w:r>
      <w:r>
        <w:rPr>
          <w:rFonts w:ascii="標楷體" w:eastAsia="標楷體" w:hAnsi="標楷體"/>
          <w:sz w:val="20"/>
          <w:szCs w:val="20"/>
        </w:rPr>
        <w:t>學期臨時教務會議通過</w:t>
      </w:r>
    </w:p>
    <w:p w:rsidR="00D37F1A" w:rsidRDefault="005C3E89">
      <w:pPr>
        <w:pStyle w:val="a5"/>
        <w:numPr>
          <w:ilvl w:val="0"/>
          <w:numId w:val="4"/>
        </w:numPr>
        <w:spacing w:line="400" w:lineRule="exact"/>
        <w:jc w:val="both"/>
      </w:pPr>
      <w:r>
        <w:rPr>
          <w:rFonts w:ascii="Times New Roman" w:eastAsia="標楷體" w:hAnsi="Times New Roman" w:cs="Times New Roman"/>
        </w:rPr>
        <w:t>為配合政府大學社會責任政策及國立勤益科技大學</w:t>
      </w:r>
      <w:r>
        <w:rPr>
          <w:rFonts w:ascii="Times New Roman" w:eastAsia="標楷體" w:hAnsi="Times New Roman" w:cs="Times New Roman"/>
        </w:rPr>
        <w:t>(</w:t>
      </w:r>
      <w:r>
        <w:rPr>
          <w:rFonts w:ascii="Times New Roman" w:eastAsia="標楷體" w:hAnsi="Times New Roman" w:cs="Times New Roman"/>
        </w:rPr>
        <w:t>以下簡稱本校</w:t>
      </w:r>
      <w:r>
        <w:rPr>
          <w:rFonts w:ascii="Times New Roman" w:eastAsia="標楷體" w:hAnsi="Times New Roman" w:cs="Times New Roman"/>
        </w:rPr>
        <w:t>)</w:t>
      </w:r>
      <w:r>
        <w:rPr>
          <w:rFonts w:ascii="Times New Roman" w:eastAsia="標楷體" w:hAnsi="Times New Roman" w:cs="Times New Roman"/>
        </w:rPr>
        <w:t>中程校務發展計畫善盡社會責任策略，促進新世代人才對真實社會的瞭解，強化社會責任感及公民意識，培育學生具備社會實踐核心能力，</w:t>
      </w:r>
      <w:r>
        <w:rPr>
          <w:rFonts w:ascii="標楷體" w:eastAsia="標楷體" w:hAnsi="標楷體"/>
          <w:color w:val="000000"/>
        </w:rPr>
        <w:t>依據「國立勤益科技大學學分學程實施辦</w:t>
      </w:r>
      <w:r>
        <w:rPr>
          <w:rFonts w:ascii="Times New Roman" w:eastAsia="標楷體" w:hAnsi="Times New Roman" w:cs="Times New Roman"/>
        </w:rPr>
        <w:t>法」，設立</w:t>
      </w:r>
      <w:r>
        <w:rPr>
          <w:rFonts w:ascii="標楷體" w:eastAsia="標楷體" w:hAnsi="標楷體"/>
          <w:color w:val="000000"/>
        </w:rPr>
        <w:t>跨學院、</w:t>
      </w:r>
      <w:r>
        <w:rPr>
          <w:rFonts w:ascii="Times New Roman" w:eastAsia="標楷體" w:hAnsi="Times New Roman" w:cs="Times New Roman"/>
          <w:color w:val="000000"/>
        </w:rPr>
        <w:t>跨系之</w:t>
      </w:r>
      <w:r>
        <w:rPr>
          <w:rFonts w:ascii="Times New Roman" w:eastAsia="標楷體" w:hAnsi="Times New Roman" w:cs="Times New Roman"/>
        </w:rPr>
        <w:t>「</w:t>
      </w:r>
      <w:r>
        <w:rPr>
          <w:rFonts w:ascii="標楷體" w:eastAsia="標楷體" w:hAnsi="標楷體" w:cs="Times New Roman"/>
        </w:rPr>
        <w:t>人文創意學院</w:t>
      </w:r>
      <w:r>
        <w:rPr>
          <w:rFonts w:ascii="Times New Roman" w:eastAsia="標楷體" w:hAnsi="Times New Roman" w:cs="Times New Roman"/>
        </w:rPr>
        <w:t>USR</w:t>
      </w:r>
      <w:r>
        <w:rPr>
          <w:rFonts w:ascii="Times New Roman" w:eastAsia="標楷體" w:hAnsi="Times New Roman" w:cs="Times New Roman"/>
        </w:rPr>
        <w:t>跨領域學分學程</w:t>
      </w:r>
      <w:r>
        <w:rPr>
          <w:rFonts w:ascii="Times New Roman" w:eastAsia="標楷體" w:hAnsi="Times New Roman" w:cs="Times New Roman"/>
        </w:rPr>
        <w:t>(</w:t>
      </w:r>
      <w:r>
        <w:rPr>
          <w:rFonts w:ascii="Times New Roman" w:eastAsia="標楷體" w:hAnsi="Times New Roman" w:cs="Times New Roman"/>
        </w:rPr>
        <w:t>以下簡稱本學程</w:t>
      </w:r>
      <w:r>
        <w:rPr>
          <w:rFonts w:ascii="Times New Roman" w:eastAsia="標楷體" w:hAnsi="Times New Roman" w:cs="Times New Roman"/>
        </w:rPr>
        <w:t>)</w:t>
      </w:r>
      <w:r>
        <w:rPr>
          <w:rFonts w:ascii="Times New Roman" w:eastAsia="標楷體" w:hAnsi="Times New Roman" w:cs="Times New Roman"/>
        </w:rPr>
        <w:t>」</w:t>
      </w:r>
      <w:r>
        <w:rPr>
          <w:rFonts w:ascii="Times New Roman" w:eastAsia="標楷體" w:hAnsi="Times New Roman" w:cs="Times New Roman"/>
          <w:color w:val="000000"/>
        </w:rPr>
        <w:t>，以提升問題解決能力與就業競爭力。</w:t>
      </w:r>
    </w:p>
    <w:p w:rsidR="00D37F1A" w:rsidRDefault="005C3E89">
      <w:pPr>
        <w:pStyle w:val="a5"/>
        <w:numPr>
          <w:ilvl w:val="0"/>
          <w:numId w:val="2"/>
        </w:numPr>
        <w:spacing w:line="400" w:lineRule="exact"/>
        <w:jc w:val="both"/>
      </w:pPr>
      <w:r>
        <w:rPr>
          <w:rFonts w:ascii="Times New Roman" w:eastAsia="標楷體" w:hAnsi="Times New Roman" w:cs="Times New Roman"/>
        </w:rPr>
        <w:t>本學程為依據社會實踐服務場域之需求所規劃一系列跨領域整合性課程，以推動社會實踐師資為基礎，輔以校外業師和各界資源於本校各學院既定之上課時段或共同時段開授，修習學生於各該時段選讀，總學分最低</w:t>
      </w:r>
      <w:r>
        <w:rPr>
          <w:rFonts w:ascii="Times New Roman" w:eastAsia="標楷體" w:hAnsi="Times New Roman" w:cs="Times New Roman"/>
        </w:rPr>
        <w:t>15</w:t>
      </w:r>
      <w:r>
        <w:rPr>
          <w:rFonts w:ascii="Times New Roman" w:eastAsia="標楷體" w:hAnsi="Times New Roman" w:cs="Times New Roman"/>
        </w:rPr>
        <w:t>學分，學生修習本學程之課程科目應至少</w:t>
      </w:r>
      <w:r>
        <w:rPr>
          <w:rFonts w:ascii="Times New Roman" w:eastAsia="標楷體" w:hAnsi="Times New Roman" w:cs="Times New Roman"/>
        </w:rPr>
        <w:t>6</w:t>
      </w:r>
      <w:r>
        <w:rPr>
          <w:rFonts w:ascii="Times New Roman" w:eastAsia="標楷體" w:hAnsi="Times New Roman" w:cs="Times New Roman"/>
        </w:rPr>
        <w:t>學分以上為非所屬系內課程。有關學程之課程須包含下列課程類別，說明如下：</w:t>
      </w:r>
    </w:p>
    <w:p w:rsidR="00D37F1A" w:rsidRDefault="005C3E89">
      <w:pPr>
        <w:pStyle w:val="a5"/>
        <w:numPr>
          <w:ilvl w:val="0"/>
          <w:numId w:val="5"/>
        </w:numPr>
        <w:spacing w:line="400" w:lineRule="exact"/>
        <w:ind w:left="962" w:hanging="482"/>
        <w:jc w:val="both"/>
      </w:pPr>
      <w:r>
        <w:rPr>
          <w:rFonts w:ascii="Times New Roman" w:eastAsia="標楷體" w:hAnsi="Times New Roman" w:cs="Times New Roman"/>
        </w:rPr>
        <w:t>基礎課程：需至少修習</w:t>
      </w:r>
      <w:r>
        <w:rPr>
          <w:rFonts w:ascii="Times New Roman" w:eastAsia="標楷體" w:hAnsi="Times New Roman" w:cs="Times New Roman"/>
        </w:rPr>
        <w:t>1</w:t>
      </w:r>
      <w:r>
        <w:rPr>
          <w:rFonts w:ascii="Times New Roman" w:eastAsia="標楷體" w:hAnsi="Times New Roman" w:cs="Times New Roman"/>
        </w:rPr>
        <w:t>門課程，進行學生基礎知識建構，對接社會實踐議題，促進學生對社會之關注，瞭解大學社會責任。</w:t>
      </w:r>
    </w:p>
    <w:p w:rsidR="00D37F1A" w:rsidRDefault="005C3E89">
      <w:pPr>
        <w:pStyle w:val="a5"/>
        <w:numPr>
          <w:ilvl w:val="0"/>
          <w:numId w:val="3"/>
        </w:numPr>
        <w:spacing w:line="400" w:lineRule="exact"/>
        <w:ind w:left="962" w:hanging="482"/>
        <w:jc w:val="both"/>
      </w:pPr>
      <w:r>
        <w:rPr>
          <w:rFonts w:ascii="Times New Roman" w:eastAsia="標楷體" w:hAnsi="Times New Roman" w:cs="Times New Roman"/>
        </w:rPr>
        <w:t>專業課程：</w:t>
      </w:r>
      <w:r>
        <w:rPr>
          <w:rFonts w:ascii="Times New Roman" w:eastAsia="標楷體" w:hAnsi="Times New Roman" w:cs="Times New Roman"/>
        </w:rPr>
        <w:t>需至少修習</w:t>
      </w:r>
      <w:r>
        <w:rPr>
          <w:rFonts w:ascii="Times New Roman" w:eastAsia="標楷體" w:hAnsi="Times New Roman" w:cs="Times New Roman"/>
        </w:rPr>
        <w:t>1</w:t>
      </w:r>
      <w:r>
        <w:rPr>
          <w:rFonts w:ascii="Times New Roman" w:eastAsia="標楷體" w:hAnsi="Times New Roman" w:cs="Times New Roman"/>
        </w:rPr>
        <w:t>門課程，培育學生具備協助場域解決問題所需之專業能力。</w:t>
      </w:r>
    </w:p>
    <w:p w:rsidR="00D37F1A" w:rsidRDefault="005C3E89">
      <w:pPr>
        <w:pStyle w:val="a5"/>
        <w:numPr>
          <w:ilvl w:val="0"/>
          <w:numId w:val="3"/>
        </w:numPr>
        <w:spacing w:line="400" w:lineRule="exact"/>
        <w:ind w:left="962" w:hanging="482"/>
        <w:jc w:val="both"/>
      </w:pPr>
      <w:r>
        <w:rPr>
          <w:rFonts w:ascii="Times New Roman" w:eastAsia="標楷體" w:hAnsi="Times New Roman" w:cs="Times New Roman"/>
        </w:rPr>
        <w:t>跨域課程：需至少修習</w:t>
      </w:r>
      <w:r>
        <w:rPr>
          <w:rFonts w:ascii="Times New Roman" w:eastAsia="標楷體" w:hAnsi="Times New Roman" w:cs="Times New Roman"/>
        </w:rPr>
        <w:t>1</w:t>
      </w:r>
      <w:r>
        <w:rPr>
          <w:rFonts w:ascii="Times New Roman" w:eastAsia="標楷體" w:hAnsi="Times New Roman" w:cs="Times New Roman"/>
        </w:rPr>
        <w:t>門課程，培育學生具備跨領域技能整合應用能力。</w:t>
      </w:r>
    </w:p>
    <w:p w:rsidR="00D37F1A" w:rsidRDefault="005C3E89">
      <w:pPr>
        <w:pStyle w:val="a5"/>
        <w:numPr>
          <w:ilvl w:val="0"/>
          <w:numId w:val="3"/>
        </w:numPr>
        <w:spacing w:line="400" w:lineRule="exact"/>
        <w:ind w:left="962" w:hanging="482"/>
        <w:jc w:val="both"/>
      </w:pPr>
      <w:r>
        <w:rPr>
          <w:rFonts w:ascii="Times New Roman" w:eastAsia="標楷體" w:hAnsi="Times New Roman" w:cs="Times New Roman"/>
        </w:rPr>
        <w:t>實踐課程：需至少修習</w:t>
      </w:r>
      <w:r>
        <w:rPr>
          <w:rFonts w:ascii="Times New Roman" w:eastAsia="標楷體" w:hAnsi="Times New Roman" w:cs="Times New Roman"/>
        </w:rPr>
        <w:t>1</w:t>
      </w:r>
      <w:r>
        <w:rPr>
          <w:rFonts w:ascii="Times New Roman" w:eastAsia="標楷體" w:hAnsi="Times New Roman" w:cs="Times New Roman"/>
        </w:rPr>
        <w:t>門課程，帶領學生進入實踐場域，進行場域服務、探索及協助解決地方問題。</w:t>
      </w:r>
    </w:p>
    <w:p w:rsidR="00D37F1A" w:rsidRDefault="005C3E89">
      <w:pPr>
        <w:pStyle w:val="a5"/>
        <w:numPr>
          <w:ilvl w:val="0"/>
          <w:numId w:val="2"/>
        </w:numPr>
        <w:spacing w:line="400" w:lineRule="exact"/>
        <w:jc w:val="both"/>
      </w:pPr>
      <w:r>
        <w:rPr>
          <w:rFonts w:ascii="Times New Roman" w:eastAsia="標楷體" w:hAnsi="Times New Roman" w:cs="Times New Roman"/>
        </w:rPr>
        <w:t>本校四技二年級及二技一年級以上學生得於規定選課期間，向設置學程之所屬學院申請修習學程課程。</w:t>
      </w:r>
    </w:p>
    <w:p w:rsidR="00D37F1A" w:rsidRDefault="005C3E89">
      <w:pPr>
        <w:pStyle w:val="a5"/>
        <w:numPr>
          <w:ilvl w:val="0"/>
          <w:numId w:val="2"/>
        </w:numPr>
        <w:spacing w:line="400" w:lineRule="exact"/>
        <w:jc w:val="both"/>
      </w:pPr>
      <w:r>
        <w:rPr>
          <w:rFonts w:ascii="Times New Roman" w:eastAsia="標楷體" w:hAnsi="Times New Roman" w:cs="Times New Roman"/>
        </w:rPr>
        <w:t>修滿學程規定之科目與學分者，得檢具歷年成績單及學分學程證明書申請表，向設置學程之所屬學院申請核發學程證明書，經審查無誤並簽請教務長同意後，由本校核發學程證明書。如修完所屬院系應修學分，但未完成學</w:t>
      </w:r>
      <w:r>
        <w:rPr>
          <w:rFonts w:ascii="Times New Roman" w:eastAsia="標楷體" w:hAnsi="Times New Roman" w:cs="Times New Roman"/>
        </w:rPr>
        <w:t>程學分，仍可依規定申請畢業，但不得於畢業後再要求補修學程課程。</w:t>
      </w:r>
    </w:p>
    <w:p w:rsidR="00D37F1A" w:rsidRDefault="005C3E89">
      <w:pPr>
        <w:pStyle w:val="a5"/>
        <w:numPr>
          <w:ilvl w:val="0"/>
          <w:numId w:val="2"/>
        </w:numPr>
        <w:spacing w:line="400" w:lineRule="exact"/>
        <w:jc w:val="both"/>
      </w:pPr>
      <w:r>
        <w:rPr>
          <w:rFonts w:ascii="Times New Roman" w:eastAsia="標楷體" w:hAnsi="Times New Roman" w:cs="Times New Roman"/>
        </w:rPr>
        <w:t>修習本學程之學生每學期所修學分上下限仍依本校學則相關規定辦理。</w:t>
      </w:r>
    </w:p>
    <w:p w:rsidR="00D37F1A" w:rsidRDefault="005C3E89">
      <w:pPr>
        <w:pStyle w:val="a5"/>
        <w:numPr>
          <w:ilvl w:val="0"/>
          <w:numId w:val="2"/>
        </w:numPr>
        <w:spacing w:line="400" w:lineRule="exact"/>
        <w:jc w:val="both"/>
      </w:pPr>
      <w:r>
        <w:rPr>
          <w:rFonts w:ascii="Times New Roman" w:eastAsia="標楷體" w:hAnsi="Times New Roman" w:cs="Times New Roman"/>
        </w:rPr>
        <w:t>選讀本學程之學生不得因修習學程，而申請超過本校學則規定之二年延長修業期限。</w:t>
      </w:r>
    </w:p>
    <w:p w:rsidR="00D37F1A" w:rsidRDefault="005C3E89">
      <w:pPr>
        <w:pStyle w:val="a5"/>
        <w:numPr>
          <w:ilvl w:val="0"/>
          <w:numId w:val="2"/>
        </w:numPr>
        <w:spacing w:line="400" w:lineRule="exact"/>
        <w:jc w:val="both"/>
      </w:pPr>
      <w:r>
        <w:rPr>
          <w:rFonts w:ascii="Times New Roman" w:eastAsia="標楷體" w:hAnsi="Times New Roman" w:cs="Times New Roman"/>
        </w:rPr>
        <w:t>本施行細則經院課程委員會、校課程委員會及教務會議通過後實施，修正時亦同。</w:t>
      </w:r>
    </w:p>
    <w:p w:rsidR="00D37F1A" w:rsidRDefault="00D37F1A">
      <w:pPr>
        <w:pStyle w:val="Standard"/>
        <w:spacing w:line="400" w:lineRule="exact"/>
        <w:jc w:val="both"/>
      </w:pPr>
    </w:p>
    <w:p w:rsidR="00D37F1A" w:rsidRDefault="00D37F1A">
      <w:pPr>
        <w:pStyle w:val="Standard"/>
        <w:widowControl/>
      </w:pPr>
    </w:p>
    <w:p w:rsidR="00D37F1A" w:rsidRDefault="00D37F1A">
      <w:pPr>
        <w:pStyle w:val="Standard"/>
      </w:pPr>
    </w:p>
    <w:p w:rsidR="00D37F1A" w:rsidRDefault="00D37F1A">
      <w:pPr>
        <w:pStyle w:val="Standard"/>
      </w:pPr>
    </w:p>
    <w:p w:rsidR="00000000" w:rsidRDefault="005C3E89">
      <w:pPr>
        <w:rPr>
          <w:vanish/>
        </w:rPr>
      </w:pPr>
      <w:r>
        <w:br w:type="page"/>
      </w:r>
    </w:p>
    <w:tbl>
      <w:tblPr>
        <w:tblW w:w="5000" w:type="pct"/>
        <w:tblInd w:w="-28" w:type="dxa"/>
        <w:tblLayout w:type="fixed"/>
        <w:tblCellMar>
          <w:left w:w="10" w:type="dxa"/>
          <w:right w:w="10" w:type="dxa"/>
        </w:tblCellMar>
        <w:tblLook w:val="0000" w:firstRow="0" w:lastRow="0" w:firstColumn="0" w:lastColumn="0" w:noHBand="0" w:noVBand="0"/>
      </w:tblPr>
      <w:tblGrid>
        <w:gridCol w:w="959"/>
        <w:gridCol w:w="1876"/>
        <w:gridCol w:w="1830"/>
        <w:gridCol w:w="879"/>
        <w:gridCol w:w="1189"/>
        <w:gridCol w:w="1135"/>
        <w:gridCol w:w="1168"/>
        <w:gridCol w:w="1430"/>
      </w:tblGrid>
      <w:tr w:rsidR="00D37F1A">
        <w:tblPrEx>
          <w:tblCellMar>
            <w:top w:w="0" w:type="dxa"/>
            <w:bottom w:w="0" w:type="dxa"/>
          </w:tblCellMar>
        </w:tblPrEx>
        <w:trPr>
          <w:trHeight w:val="330"/>
        </w:trPr>
        <w:tc>
          <w:tcPr>
            <w:tcW w:w="10465" w:type="dxa"/>
            <w:gridSpan w:val="8"/>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 w:val="32"/>
                <w:szCs w:val="32"/>
              </w:rPr>
              <w:t>人文創意學院</w:t>
            </w:r>
            <w:r>
              <w:rPr>
                <w:rFonts w:ascii="標楷體" w:eastAsia="標楷體" w:hAnsi="標楷體" w:cs="新細明體"/>
                <w:color w:val="000000"/>
                <w:kern w:val="0"/>
                <w:sz w:val="32"/>
                <w:szCs w:val="32"/>
              </w:rPr>
              <w:t>USR</w:t>
            </w:r>
            <w:r>
              <w:rPr>
                <w:rFonts w:ascii="標楷體" w:eastAsia="標楷體" w:hAnsi="標楷體" w:cs="新細明體"/>
                <w:color w:val="000000"/>
                <w:kern w:val="0"/>
                <w:sz w:val="32"/>
                <w:szCs w:val="32"/>
              </w:rPr>
              <w:t>跨領域學分學程課程規劃</w:t>
            </w:r>
          </w:p>
        </w:tc>
      </w:tr>
      <w:tr w:rsidR="00D37F1A">
        <w:tblPrEx>
          <w:tblCellMar>
            <w:top w:w="0" w:type="dxa"/>
            <w:bottom w:w="0" w:type="dxa"/>
          </w:tblCellMar>
        </w:tblPrEx>
        <w:trPr>
          <w:trHeight w:val="330"/>
        </w:trPr>
        <w:tc>
          <w:tcPr>
            <w:tcW w:w="4664" w:type="dxa"/>
            <w:gridSpan w:val="3"/>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召集人：陳媛珊院長</w:t>
            </w:r>
          </w:p>
        </w:tc>
        <w:tc>
          <w:tcPr>
            <w:tcW w:w="879" w:type="dxa"/>
            <w:shd w:val="clear" w:color="auto" w:fill="FFFFFF"/>
            <w:tcMar>
              <w:top w:w="0" w:type="dxa"/>
              <w:left w:w="28" w:type="dxa"/>
              <w:bottom w:w="0" w:type="dxa"/>
              <w:right w:w="28" w:type="dxa"/>
            </w:tcMar>
            <w:vAlign w:val="center"/>
          </w:tcPr>
          <w:p w:rsidR="00D37F1A" w:rsidRDefault="00D37F1A">
            <w:pPr>
              <w:pStyle w:val="Standard"/>
              <w:widowControl/>
              <w:rPr>
                <w:rFonts w:ascii="Times New Roman" w:eastAsia="Times New Roman" w:hAnsi="Times New Roman" w:cs="Times New Roman"/>
                <w:kern w:val="0"/>
                <w:sz w:val="20"/>
                <w:szCs w:val="20"/>
              </w:rPr>
            </w:pPr>
          </w:p>
        </w:tc>
        <w:tc>
          <w:tcPr>
            <w:tcW w:w="1189" w:type="dxa"/>
            <w:shd w:val="clear" w:color="auto" w:fill="FFFFFF"/>
            <w:tcMar>
              <w:top w:w="0" w:type="dxa"/>
              <w:left w:w="28" w:type="dxa"/>
              <w:bottom w:w="0" w:type="dxa"/>
              <w:right w:w="28" w:type="dxa"/>
            </w:tcMar>
            <w:vAlign w:val="center"/>
          </w:tcPr>
          <w:p w:rsidR="00D37F1A" w:rsidRDefault="00D37F1A">
            <w:pPr>
              <w:pStyle w:val="Standard"/>
              <w:widowControl/>
              <w:rPr>
                <w:rFonts w:ascii="Times New Roman" w:eastAsia="Times New Roman" w:hAnsi="Times New Roman" w:cs="Times New Roman"/>
                <w:kern w:val="0"/>
                <w:sz w:val="20"/>
                <w:szCs w:val="20"/>
              </w:rPr>
            </w:pPr>
          </w:p>
        </w:tc>
        <w:tc>
          <w:tcPr>
            <w:tcW w:w="1135" w:type="dxa"/>
            <w:shd w:val="clear" w:color="auto" w:fill="FFFFFF"/>
            <w:tcMar>
              <w:top w:w="0" w:type="dxa"/>
              <w:left w:w="28" w:type="dxa"/>
              <w:bottom w:w="0" w:type="dxa"/>
              <w:right w:w="28" w:type="dxa"/>
            </w:tcMar>
            <w:vAlign w:val="center"/>
          </w:tcPr>
          <w:p w:rsidR="00D37F1A" w:rsidRDefault="00D37F1A">
            <w:pPr>
              <w:pStyle w:val="Standard"/>
              <w:widowControl/>
              <w:rPr>
                <w:rFonts w:ascii="Times New Roman" w:eastAsia="Times New Roman" w:hAnsi="Times New Roman" w:cs="Times New Roman"/>
                <w:kern w:val="0"/>
                <w:sz w:val="20"/>
                <w:szCs w:val="20"/>
              </w:rPr>
            </w:pPr>
          </w:p>
        </w:tc>
        <w:tc>
          <w:tcPr>
            <w:tcW w:w="1168" w:type="dxa"/>
            <w:shd w:val="clear" w:color="auto" w:fill="FFFFFF"/>
            <w:tcMar>
              <w:top w:w="0" w:type="dxa"/>
              <w:left w:w="28" w:type="dxa"/>
              <w:bottom w:w="0" w:type="dxa"/>
              <w:right w:w="28" w:type="dxa"/>
            </w:tcMar>
            <w:vAlign w:val="center"/>
          </w:tcPr>
          <w:p w:rsidR="00D37F1A" w:rsidRDefault="00D37F1A">
            <w:pPr>
              <w:pStyle w:val="Standard"/>
              <w:widowControl/>
              <w:rPr>
                <w:rFonts w:ascii="Times New Roman" w:eastAsia="Times New Roman" w:hAnsi="Times New Roman" w:cs="Times New Roman"/>
                <w:kern w:val="0"/>
                <w:sz w:val="20"/>
                <w:szCs w:val="20"/>
              </w:rPr>
            </w:pPr>
          </w:p>
        </w:tc>
        <w:tc>
          <w:tcPr>
            <w:tcW w:w="1430" w:type="dxa"/>
            <w:shd w:val="clear" w:color="auto" w:fill="FFFFFF"/>
            <w:tcMar>
              <w:top w:w="0" w:type="dxa"/>
              <w:left w:w="28" w:type="dxa"/>
              <w:bottom w:w="0" w:type="dxa"/>
              <w:right w:w="28" w:type="dxa"/>
            </w:tcMar>
            <w:vAlign w:val="center"/>
          </w:tcPr>
          <w:p w:rsidR="00D37F1A" w:rsidRDefault="00D37F1A">
            <w:pPr>
              <w:pStyle w:val="Standard"/>
              <w:widowControl/>
              <w:rPr>
                <w:rFonts w:ascii="Times New Roman" w:eastAsia="Times New Roman" w:hAnsi="Times New Roman" w:cs="Times New Roman"/>
                <w:kern w:val="0"/>
                <w:sz w:val="20"/>
                <w:szCs w:val="20"/>
              </w:rPr>
            </w:pPr>
          </w:p>
        </w:tc>
      </w:tr>
      <w:tr w:rsidR="00D37F1A">
        <w:tblPrEx>
          <w:tblCellMar>
            <w:top w:w="0" w:type="dxa"/>
            <w:bottom w:w="0" w:type="dxa"/>
          </w:tblCellMar>
        </w:tblPrEx>
        <w:trPr>
          <w:trHeight w:val="330"/>
        </w:trPr>
        <w:tc>
          <w:tcPr>
            <w:tcW w:w="10465" w:type="dxa"/>
            <w:gridSpan w:val="8"/>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說明：修習滿</w:t>
            </w:r>
            <w:r>
              <w:rPr>
                <w:rFonts w:ascii="標楷體" w:eastAsia="標楷體" w:hAnsi="標楷體" w:cs="新細明體"/>
                <w:color w:val="000000"/>
                <w:kern w:val="0"/>
                <w:szCs w:val="24"/>
              </w:rPr>
              <w:t>15</w:t>
            </w:r>
            <w:r>
              <w:rPr>
                <w:rFonts w:ascii="標楷體" w:eastAsia="標楷體" w:hAnsi="標楷體" w:cs="新細明體"/>
                <w:color w:val="000000"/>
                <w:kern w:val="0"/>
                <w:szCs w:val="24"/>
              </w:rPr>
              <w:t>學分授予學程證明，修習本學程之課程科目應至少</w:t>
            </w:r>
            <w:r>
              <w:rPr>
                <w:rFonts w:ascii="標楷體" w:eastAsia="標楷體" w:hAnsi="標楷體" w:cs="新細明體"/>
                <w:color w:val="000000"/>
                <w:kern w:val="0"/>
                <w:szCs w:val="24"/>
              </w:rPr>
              <w:t>6</w:t>
            </w:r>
            <w:r>
              <w:rPr>
                <w:rFonts w:ascii="標楷體" w:eastAsia="標楷體" w:hAnsi="標楷體" w:cs="新細明體"/>
                <w:color w:val="000000"/>
                <w:kern w:val="0"/>
                <w:szCs w:val="24"/>
              </w:rPr>
              <w:t>學分以上為非所屬系內課程，其餘條件請參照施行細則及下表規定。</w:t>
            </w:r>
          </w:p>
        </w:tc>
      </w:tr>
      <w:tr w:rsidR="00D37F1A">
        <w:tblPrEx>
          <w:tblCellMar>
            <w:top w:w="0" w:type="dxa"/>
            <w:bottom w:w="0" w:type="dxa"/>
          </w:tblCellMar>
        </w:tblPrEx>
        <w:trPr>
          <w:trHeight w:hRule="exact" w:val="23"/>
        </w:trPr>
        <w:tc>
          <w:tcPr>
            <w:tcW w:w="958" w:type="dxa"/>
            <w:shd w:val="clear" w:color="auto" w:fill="FFFFFF"/>
            <w:tcMar>
              <w:top w:w="0" w:type="dxa"/>
              <w:left w:w="28" w:type="dxa"/>
              <w:bottom w:w="0" w:type="dxa"/>
              <w:right w:w="28" w:type="dxa"/>
            </w:tcMar>
            <w:vAlign w:val="center"/>
          </w:tcPr>
          <w:p w:rsidR="00D37F1A" w:rsidRDefault="00D37F1A">
            <w:pPr>
              <w:pStyle w:val="Standard"/>
              <w:widowControl/>
              <w:rPr>
                <w:rFonts w:ascii="標楷體" w:eastAsia="標楷體" w:hAnsi="標楷體" w:cs="新細明體"/>
                <w:color w:val="000000"/>
                <w:kern w:val="0"/>
                <w:szCs w:val="24"/>
              </w:rPr>
            </w:pPr>
          </w:p>
        </w:tc>
        <w:tc>
          <w:tcPr>
            <w:tcW w:w="1876" w:type="dxa"/>
            <w:shd w:val="clear" w:color="auto" w:fill="FFFFFF"/>
            <w:tcMar>
              <w:top w:w="0" w:type="dxa"/>
              <w:left w:w="28" w:type="dxa"/>
              <w:bottom w:w="0" w:type="dxa"/>
              <w:right w:w="28" w:type="dxa"/>
            </w:tcMar>
            <w:vAlign w:val="center"/>
          </w:tcPr>
          <w:p w:rsidR="00D37F1A" w:rsidRDefault="00D37F1A">
            <w:pPr>
              <w:pStyle w:val="Standard"/>
              <w:widowControl/>
              <w:rPr>
                <w:rFonts w:ascii="Times New Roman" w:eastAsia="Times New Roman" w:hAnsi="Times New Roman" w:cs="Times New Roman"/>
                <w:kern w:val="0"/>
                <w:sz w:val="20"/>
                <w:szCs w:val="20"/>
              </w:rPr>
            </w:pPr>
          </w:p>
        </w:tc>
        <w:tc>
          <w:tcPr>
            <w:tcW w:w="1830" w:type="dxa"/>
            <w:shd w:val="clear" w:color="auto" w:fill="FFFFFF"/>
            <w:tcMar>
              <w:top w:w="0" w:type="dxa"/>
              <w:left w:w="28" w:type="dxa"/>
              <w:bottom w:w="0" w:type="dxa"/>
              <w:right w:w="28" w:type="dxa"/>
            </w:tcMar>
            <w:vAlign w:val="center"/>
          </w:tcPr>
          <w:p w:rsidR="00D37F1A" w:rsidRDefault="00D37F1A">
            <w:pPr>
              <w:pStyle w:val="Standard"/>
              <w:widowControl/>
              <w:rPr>
                <w:rFonts w:ascii="Times New Roman" w:eastAsia="Times New Roman" w:hAnsi="Times New Roman" w:cs="Times New Roman"/>
                <w:kern w:val="0"/>
                <w:sz w:val="20"/>
                <w:szCs w:val="20"/>
              </w:rPr>
            </w:pPr>
          </w:p>
        </w:tc>
        <w:tc>
          <w:tcPr>
            <w:tcW w:w="879" w:type="dxa"/>
            <w:shd w:val="clear" w:color="auto" w:fill="FFFFFF"/>
            <w:tcMar>
              <w:top w:w="0" w:type="dxa"/>
              <w:left w:w="28" w:type="dxa"/>
              <w:bottom w:w="0" w:type="dxa"/>
              <w:right w:w="28" w:type="dxa"/>
            </w:tcMar>
            <w:vAlign w:val="center"/>
          </w:tcPr>
          <w:p w:rsidR="00D37F1A" w:rsidRDefault="00D37F1A">
            <w:pPr>
              <w:pStyle w:val="Standard"/>
              <w:widowControl/>
              <w:rPr>
                <w:rFonts w:ascii="Times New Roman" w:eastAsia="Times New Roman" w:hAnsi="Times New Roman" w:cs="Times New Roman"/>
                <w:kern w:val="0"/>
                <w:sz w:val="20"/>
                <w:szCs w:val="20"/>
              </w:rPr>
            </w:pPr>
          </w:p>
        </w:tc>
        <w:tc>
          <w:tcPr>
            <w:tcW w:w="1189" w:type="dxa"/>
            <w:shd w:val="clear" w:color="auto" w:fill="FFFFFF"/>
            <w:tcMar>
              <w:top w:w="0" w:type="dxa"/>
              <w:left w:w="28" w:type="dxa"/>
              <w:bottom w:w="0" w:type="dxa"/>
              <w:right w:w="28" w:type="dxa"/>
            </w:tcMar>
            <w:vAlign w:val="center"/>
          </w:tcPr>
          <w:p w:rsidR="00D37F1A" w:rsidRDefault="00D37F1A">
            <w:pPr>
              <w:pStyle w:val="Standard"/>
              <w:widowControl/>
              <w:rPr>
                <w:rFonts w:ascii="Times New Roman" w:eastAsia="Times New Roman" w:hAnsi="Times New Roman" w:cs="Times New Roman"/>
                <w:kern w:val="0"/>
                <w:sz w:val="20"/>
                <w:szCs w:val="20"/>
              </w:rPr>
            </w:pPr>
          </w:p>
        </w:tc>
        <w:tc>
          <w:tcPr>
            <w:tcW w:w="1135" w:type="dxa"/>
            <w:shd w:val="clear" w:color="auto" w:fill="FFFFFF"/>
            <w:tcMar>
              <w:top w:w="0" w:type="dxa"/>
              <w:left w:w="28" w:type="dxa"/>
              <w:bottom w:w="0" w:type="dxa"/>
              <w:right w:w="28" w:type="dxa"/>
            </w:tcMar>
            <w:vAlign w:val="center"/>
          </w:tcPr>
          <w:p w:rsidR="00D37F1A" w:rsidRDefault="00D37F1A">
            <w:pPr>
              <w:pStyle w:val="Standard"/>
              <w:widowControl/>
              <w:rPr>
                <w:rFonts w:ascii="Times New Roman" w:eastAsia="Times New Roman" w:hAnsi="Times New Roman" w:cs="Times New Roman"/>
                <w:kern w:val="0"/>
                <w:sz w:val="20"/>
                <w:szCs w:val="20"/>
              </w:rPr>
            </w:pPr>
          </w:p>
        </w:tc>
        <w:tc>
          <w:tcPr>
            <w:tcW w:w="1168" w:type="dxa"/>
            <w:shd w:val="clear" w:color="auto" w:fill="FFFFFF"/>
            <w:tcMar>
              <w:top w:w="0" w:type="dxa"/>
              <w:left w:w="28" w:type="dxa"/>
              <w:bottom w:w="0" w:type="dxa"/>
              <w:right w:w="28" w:type="dxa"/>
            </w:tcMar>
            <w:vAlign w:val="center"/>
          </w:tcPr>
          <w:p w:rsidR="00D37F1A" w:rsidRDefault="00D37F1A">
            <w:pPr>
              <w:pStyle w:val="Standard"/>
              <w:widowControl/>
              <w:rPr>
                <w:rFonts w:ascii="Times New Roman" w:eastAsia="Times New Roman" w:hAnsi="Times New Roman" w:cs="Times New Roman"/>
                <w:kern w:val="0"/>
                <w:sz w:val="20"/>
                <w:szCs w:val="20"/>
              </w:rPr>
            </w:pPr>
          </w:p>
        </w:tc>
        <w:tc>
          <w:tcPr>
            <w:tcW w:w="1430" w:type="dxa"/>
            <w:shd w:val="clear" w:color="auto" w:fill="FFFFFF"/>
            <w:tcMar>
              <w:top w:w="0" w:type="dxa"/>
              <w:left w:w="28" w:type="dxa"/>
              <w:bottom w:w="0" w:type="dxa"/>
              <w:right w:w="28" w:type="dxa"/>
            </w:tcMar>
            <w:vAlign w:val="center"/>
          </w:tcPr>
          <w:p w:rsidR="00D37F1A" w:rsidRDefault="00D37F1A">
            <w:pPr>
              <w:pStyle w:val="Standard"/>
              <w:widowControl/>
              <w:rPr>
                <w:rFonts w:ascii="Times New Roman" w:eastAsia="Times New Roman" w:hAnsi="Times New Roman" w:cs="Times New Roman"/>
                <w:kern w:val="0"/>
                <w:sz w:val="20"/>
                <w:szCs w:val="20"/>
              </w:rPr>
            </w:pPr>
          </w:p>
        </w:tc>
      </w:tr>
      <w:tr w:rsidR="00D37F1A">
        <w:tblPrEx>
          <w:tblCellMar>
            <w:top w:w="0" w:type="dxa"/>
            <w:bottom w:w="0" w:type="dxa"/>
          </w:tblCellMar>
        </w:tblPrEx>
        <w:trPr>
          <w:trHeight w:val="330"/>
        </w:trPr>
        <w:tc>
          <w:tcPr>
            <w:tcW w:w="95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課程屬性</w:t>
            </w:r>
          </w:p>
        </w:tc>
        <w:tc>
          <w:tcPr>
            <w:tcW w:w="6909" w:type="dxa"/>
            <w:gridSpan w:val="5"/>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開設課程</w:t>
            </w:r>
          </w:p>
        </w:tc>
        <w:tc>
          <w:tcPr>
            <w:tcW w:w="1168"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修別</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必</w:t>
            </w:r>
            <w:r>
              <w:rPr>
                <w:rFonts w:ascii="標楷體" w:eastAsia="標楷體" w:hAnsi="標楷體" w:cs="新細明體"/>
                <w:color w:val="000000"/>
                <w:kern w:val="0"/>
                <w:szCs w:val="24"/>
              </w:rPr>
              <w:t>/</w:t>
            </w:r>
            <w:r>
              <w:rPr>
                <w:rFonts w:ascii="標楷體" w:eastAsia="標楷體" w:hAnsi="標楷體" w:cs="新細明體"/>
                <w:color w:val="000000"/>
                <w:kern w:val="0"/>
                <w:szCs w:val="24"/>
              </w:rPr>
              <w:t>選修</w:t>
            </w:r>
            <w:r>
              <w:rPr>
                <w:rFonts w:ascii="標楷體" w:eastAsia="標楷體" w:hAnsi="標楷體" w:cs="新細明體"/>
                <w:color w:val="000000"/>
                <w:kern w:val="0"/>
                <w:szCs w:val="24"/>
              </w:rPr>
              <w:t>)</w:t>
            </w:r>
          </w:p>
        </w:tc>
        <w:tc>
          <w:tcPr>
            <w:tcW w:w="1430"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條件</w:t>
            </w:r>
          </w:p>
        </w:tc>
      </w:tr>
      <w:tr w:rsidR="00D37F1A">
        <w:tblPrEx>
          <w:tblCellMar>
            <w:top w:w="0" w:type="dxa"/>
            <w:bottom w:w="0" w:type="dxa"/>
          </w:tblCellMar>
        </w:tblPrEx>
        <w:trPr>
          <w:trHeight w:val="330"/>
        </w:trPr>
        <w:tc>
          <w:tcPr>
            <w:tcW w:w="95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開課系所</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課程名稱</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學分數</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開課年級</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開課學期</w:t>
            </w:r>
          </w:p>
        </w:tc>
        <w:tc>
          <w:tcPr>
            <w:tcW w:w="11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D37F1A" w:rsidRDefault="00D37F1A">
            <w:pPr>
              <w:pStyle w:val="Standard"/>
              <w:widowControl/>
              <w:rPr>
                <w:rFonts w:ascii="標楷體" w:eastAsia="標楷體" w:hAnsi="標楷體" w:cs="新細明體"/>
                <w:color w:val="000000"/>
                <w:kern w:val="0"/>
                <w:szCs w:val="24"/>
              </w:rPr>
            </w:pPr>
          </w:p>
        </w:tc>
        <w:tc>
          <w:tcPr>
            <w:tcW w:w="143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D37F1A" w:rsidRDefault="00D37F1A">
            <w:pPr>
              <w:pStyle w:val="Standard"/>
              <w:widowControl/>
              <w:rPr>
                <w:rFonts w:ascii="標楷體" w:eastAsia="標楷體" w:hAnsi="標楷體" w:cs="新細明體"/>
                <w:color w:val="000000"/>
                <w:kern w:val="0"/>
                <w:szCs w:val="24"/>
              </w:rPr>
            </w:pPr>
          </w:p>
        </w:tc>
      </w:tr>
      <w:tr w:rsidR="00D37F1A">
        <w:tblPrEx>
          <w:tblCellMar>
            <w:top w:w="0" w:type="dxa"/>
            <w:bottom w:w="0" w:type="dxa"/>
          </w:tblCellMar>
        </w:tblPrEx>
        <w:trPr>
          <w:trHeight w:val="420"/>
        </w:trPr>
        <w:tc>
          <w:tcPr>
            <w:tcW w:w="958" w:type="dxa"/>
            <w:vMerge w:val="restart"/>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基礎課程</w:t>
            </w:r>
          </w:p>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文化創意事業系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設計概論</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一</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必修</w:t>
            </w:r>
          </w:p>
        </w:tc>
        <w:tc>
          <w:tcPr>
            <w:tcW w:w="1430" w:type="dxa"/>
            <w:vMerge w:val="restart"/>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至少修習</w:t>
            </w:r>
            <w:r>
              <w:rPr>
                <w:rFonts w:ascii="標楷體" w:eastAsia="標楷體" w:hAnsi="標楷體" w:cs="新細明體"/>
                <w:color w:val="000000"/>
                <w:kern w:val="0"/>
                <w:szCs w:val="24"/>
              </w:rPr>
              <w:t>1</w:t>
            </w:r>
            <w:r>
              <w:rPr>
                <w:rFonts w:ascii="標楷體" w:eastAsia="標楷體" w:hAnsi="標楷體" w:cs="新細明體"/>
                <w:color w:val="000000"/>
                <w:kern w:val="0"/>
                <w:szCs w:val="24"/>
              </w:rPr>
              <w:t>門</w:t>
            </w:r>
          </w:p>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文化創意事業系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文創行銷概論</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一</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文化創意事業系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文化創意產業概論</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二</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文化創意事業系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展演概論</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二</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應用英語系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英語會話</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一</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應用英語系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pPr>
            <w:r>
              <w:rPr>
                <w:rFonts w:ascii="標楷體" w:eastAsia="標楷體" w:hAnsi="標楷體" w:cs="新細明體"/>
                <w:color w:val="000000"/>
                <w:kern w:val="0"/>
                <w:szCs w:val="24"/>
              </w:rPr>
              <w:t>英語會話</w:t>
            </w:r>
            <w:r>
              <w:rPr>
                <w:rFonts w:ascii="標楷體" w:eastAsia="標楷體" w:hAnsi="標楷體" w:cs="新細明體"/>
                <w:color w:val="000000"/>
                <w:kern w:val="0"/>
                <w:szCs w:val="24"/>
              </w:rPr>
              <w:t>(</w:t>
            </w:r>
            <w:r>
              <w:rPr>
                <w:rFonts w:ascii="標楷體" w:eastAsia="標楷體" w:hAnsi="標楷體" w:cs="新細明體"/>
                <w:color w:val="000000"/>
                <w:kern w:val="0"/>
                <w:szCs w:val="24"/>
              </w:rPr>
              <w:t>二</w:t>
            </w:r>
            <w:r>
              <w:rPr>
                <w:rFonts w:ascii="標楷體" w:eastAsia="標楷體" w:hAnsi="標楷體" w:cs="新細明體"/>
                <w:color w:val="000000"/>
                <w:kern w:val="0"/>
                <w:szCs w:val="24"/>
              </w:rPr>
              <w:t>)</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一</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應用英語系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pPr>
            <w:r>
              <w:rPr>
                <w:rFonts w:ascii="標楷體" w:eastAsia="標楷體" w:hAnsi="標楷體" w:cs="新細明體"/>
                <w:color w:val="000000"/>
                <w:kern w:val="0"/>
                <w:szCs w:val="24"/>
              </w:rPr>
              <w:t>英語會話</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三</w:t>
            </w:r>
            <w:r>
              <w:rPr>
                <w:rFonts w:ascii="標楷體" w:eastAsia="標楷體" w:hAnsi="標楷體" w:cs="新細明體"/>
                <w:color w:val="000000"/>
                <w:kern w:val="0"/>
                <w:szCs w:val="24"/>
              </w:rPr>
              <w:t>)</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二</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應用英語系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pPr>
            <w:r>
              <w:rPr>
                <w:rFonts w:ascii="標楷體" w:eastAsia="標楷體" w:hAnsi="標楷體" w:cs="新細明體"/>
                <w:color w:val="000000"/>
                <w:kern w:val="0"/>
                <w:szCs w:val="24"/>
              </w:rPr>
              <w:t>英語會話</w:t>
            </w:r>
            <w:r>
              <w:rPr>
                <w:rFonts w:ascii="標楷體" w:eastAsia="標楷體" w:hAnsi="標楷體" w:cs="新細明體"/>
                <w:color w:val="000000"/>
                <w:kern w:val="0"/>
                <w:szCs w:val="24"/>
              </w:rPr>
              <w:t>(</w:t>
            </w:r>
            <w:r>
              <w:rPr>
                <w:rFonts w:ascii="標楷體" w:eastAsia="標楷體" w:hAnsi="標楷體" w:cs="新細明體"/>
                <w:color w:val="000000"/>
                <w:kern w:val="0"/>
                <w:szCs w:val="24"/>
              </w:rPr>
              <w:t>四</w:t>
            </w:r>
            <w:r>
              <w:rPr>
                <w:rFonts w:ascii="標楷體" w:eastAsia="標楷體" w:hAnsi="標楷體" w:cs="新細明體"/>
                <w:color w:val="000000"/>
                <w:kern w:val="0"/>
                <w:szCs w:val="24"/>
              </w:rPr>
              <w:t>)</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二</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景觀系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景觀植物學</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一</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景觀系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景觀植物學</w:t>
            </w:r>
            <w:r>
              <w:rPr>
                <w:rFonts w:ascii="標楷體" w:eastAsia="標楷體" w:hAnsi="標楷體" w:cs="新細明體"/>
                <w:color w:val="000000"/>
                <w:kern w:val="0"/>
                <w:szCs w:val="24"/>
              </w:rPr>
              <w:t>(</w:t>
            </w:r>
            <w:r>
              <w:rPr>
                <w:rFonts w:ascii="標楷體" w:eastAsia="標楷體" w:hAnsi="標楷體" w:cs="新細明體"/>
                <w:color w:val="000000"/>
                <w:kern w:val="0"/>
                <w:szCs w:val="24"/>
              </w:rPr>
              <w:t>二</w:t>
            </w:r>
            <w:r>
              <w:rPr>
                <w:rFonts w:ascii="標楷體" w:eastAsia="標楷體" w:hAnsi="標楷體" w:cs="新細明體"/>
                <w:color w:val="000000"/>
                <w:kern w:val="0"/>
                <w:szCs w:val="24"/>
              </w:rPr>
              <w:t>)</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一</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景觀系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基本設計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3</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一</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景觀系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基本設計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二</w:t>
            </w:r>
            <w:r>
              <w:rPr>
                <w:rFonts w:ascii="標楷體" w:eastAsia="標楷體" w:hAnsi="標楷體" w:cs="新細明體"/>
                <w:color w:val="000000"/>
                <w:kern w:val="0"/>
                <w:szCs w:val="24"/>
              </w:rPr>
              <w:t>)</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3</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一</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val="restart"/>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專業課程</w:t>
            </w:r>
          </w:p>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文化創意事業系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影像與歷史</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一</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必修</w:t>
            </w:r>
          </w:p>
        </w:tc>
        <w:tc>
          <w:tcPr>
            <w:tcW w:w="1430" w:type="dxa"/>
            <w:vMerge w:val="restart"/>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至少修習</w:t>
            </w:r>
            <w:r>
              <w:rPr>
                <w:rFonts w:ascii="標楷體" w:eastAsia="標楷體" w:hAnsi="標楷體" w:cs="新細明體"/>
                <w:color w:val="000000"/>
                <w:kern w:val="0"/>
                <w:szCs w:val="24"/>
              </w:rPr>
              <w:t>1</w:t>
            </w:r>
            <w:r>
              <w:rPr>
                <w:rFonts w:ascii="標楷體" w:eastAsia="標楷體" w:hAnsi="標楷體" w:cs="新細明體"/>
                <w:color w:val="000000"/>
                <w:kern w:val="0"/>
                <w:szCs w:val="24"/>
              </w:rPr>
              <w:t>門</w:t>
            </w:r>
          </w:p>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文化創意事業系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數位剪輯入門</w:t>
            </w:r>
            <w:r>
              <w:rPr>
                <w:rFonts w:ascii="標楷體" w:eastAsia="標楷體" w:hAnsi="標楷體" w:cs="新細明體"/>
                <w:color w:val="000000"/>
                <w:kern w:val="0"/>
                <w:szCs w:val="24"/>
              </w:rPr>
              <w:t>(MV)</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一</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文化創意事業系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市場調查與分析</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二</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文化創意事業系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文化創意產業經營與行銷</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二</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應用英語系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中英筆譯</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二</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pPr>
            <w:r>
              <w:rPr>
                <w:rFonts w:ascii="標楷體" w:eastAsia="標楷體" w:hAnsi="標楷體" w:cs="新細明體"/>
                <w:color w:val="000000"/>
                <w:kern w:val="0"/>
                <w:szCs w:val="24"/>
              </w:rPr>
              <w:t>應用英語系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pPr>
            <w:r>
              <w:rPr>
                <w:rFonts w:ascii="標楷體" w:eastAsia="標楷體" w:hAnsi="標楷體" w:cs="新細明體"/>
                <w:color w:val="000000"/>
                <w:kern w:val="0"/>
                <w:szCs w:val="24"/>
              </w:rPr>
              <w:t>中英筆譯</w:t>
            </w:r>
            <w:r>
              <w:rPr>
                <w:rFonts w:ascii="標楷體" w:eastAsia="標楷體" w:hAnsi="標楷體" w:cs="新細明體"/>
                <w:color w:val="000000"/>
                <w:kern w:val="0"/>
                <w:szCs w:val="24"/>
              </w:rPr>
              <w:t>(</w:t>
            </w:r>
            <w:r>
              <w:rPr>
                <w:rFonts w:ascii="標楷體" w:eastAsia="標楷體" w:hAnsi="標楷體" w:cs="新細明體"/>
                <w:color w:val="000000"/>
                <w:kern w:val="0"/>
                <w:szCs w:val="24"/>
              </w:rPr>
              <w:t>二</w:t>
            </w:r>
            <w:r>
              <w:rPr>
                <w:rFonts w:ascii="標楷體" w:eastAsia="標楷體" w:hAnsi="標楷體" w:cs="新細明體"/>
                <w:color w:val="000000"/>
                <w:kern w:val="0"/>
                <w:szCs w:val="24"/>
              </w:rPr>
              <w:t>)</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二</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pPr>
            <w:r>
              <w:rPr>
                <w:rFonts w:ascii="標楷體" w:eastAsia="標楷體" w:hAnsi="標楷體" w:cs="新細明體"/>
                <w:color w:val="000000"/>
                <w:kern w:val="0"/>
                <w:szCs w:val="24"/>
              </w:rPr>
              <w:t>應用英語系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pPr>
            <w:r>
              <w:rPr>
                <w:rFonts w:ascii="標楷體" w:eastAsia="標楷體" w:hAnsi="標楷體" w:cs="新細明體"/>
                <w:color w:val="000000"/>
                <w:kern w:val="0"/>
                <w:szCs w:val="24"/>
              </w:rPr>
              <w:t>中英筆譯</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三</w:t>
            </w:r>
            <w:r>
              <w:rPr>
                <w:rFonts w:ascii="標楷體" w:eastAsia="標楷體" w:hAnsi="標楷體" w:cs="新細明體"/>
                <w:color w:val="000000"/>
                <w:kern w:val="0"/>
                <w:szCs w:val="24"/>
              </w:rPr>
              <w:t>)</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三</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pPr>
            <w:r>
              <w:rPr>
                <w:rFonts w:ascii="標楷體" w:eastAsia="標楷體" w:hAnsi="標楷體" w:cs="新細明體"/>
                <w:color w:val="000000"/>
                <w:kern w:val="0"/>
                <w:szCs w:val="24"/>
              </w:rPr>
              <w:t>應用英語系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pPr>
            <w:r>
              <w:rPr>
                <w:rFonts w:ascii="標楷體" w:eastAsia="標楷體" w:hAnsi="標楷體" w:cs="新細明體"/>
                <w:color w:val="000000"/>
                <w:kern w:val="0"/>
                <w:szCs w:val="24"/>
              </w:rPr>
              <w:t>中英筆譯</w:t>
            </w:r>
            <w:r>
              <w:rPr>
                <w:rFonts w:ascii="標楷體" w:eastAsia="標楷體" w:hAnsi="標楷體" w:cs="新細明體"/>
                <w:color w:val="000000"/>
                <w:kern w:val="0"/>
                <w:szCs w:val="24"/>
              </w:rPr>
              <w:t>(</w:t>
            </w:r>
            <w:r>
              <w:rPr>
                <w:rFonts w:ascii="標楷體" w:eastAsia="標楷體" w:hAnsi="標楷體" w:cs="新細明體"/>
                <w:color w:val="000000"/>
                <w:kern w:val="0"/>
                <w:szCs w:val="24"/>
              </w:rPr>
              <w:t>四</w:t>
            </w:r>
            <w:r>
              <w:rPr>
                <w:rFonts w:ascii="標楷體" w:eastAsia="標楷體" w:hAnsi="標楷體" w:cs="新細明體"/>
                <w:color w:val="000000"/>
                <w:kern w:val="0"/>
                <w:szCs w:val="24"/>
              </w:rPr>
              <w:t>)</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三</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景觀系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景觀圖學</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一</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景觀系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景觀圖學</w:t>
            </w:r>
            <w:r>
              <w:rPr>
                <w:rFonts w:ascii="標楷體" w:eastAsia="標楷體" w:hAnsi="標楷體" w:cs="新細明體"/>
                <w:color w:val="000000"/>
                <w:kern w:val="0"/>
                <w:szCs w:val="24"/>
              </w:rPr>
              <w:t>(</w:t>
            </w:r>
            <w:r>
              <w:rPr>
                <w:rFonts w:ascii="標楷體" w:eastAsia="標楷體" w:hAnsi="標楷體" w:cs="新細明體"/>
                <w:color w:val="000000"/>
                <w:kern w:val="0"/>
                <w:szCs w:val="24"/>
              </w:rPr>
              <w:t>二</w:t>
            </w:r>
            <w:r>
              <w:rPr>
                <w:rFonts w:ascii="標楷體" w:eastAsia="標楷體" w:hAnsi="標楷體" w:cs="新細明體"/>
                <w:color w:val="000000"/>
                <w:kern w:val="0"/>
                <w:szCs w:val="24"/>
              </w:rPr>
              <w:t>)</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一</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景觀系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景觀設計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4</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二</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景觀系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景觀設計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二</w:t>
            </w:r>
            <w:r>
              <w:rPr>
                <w:rFonts w:ascii="標楷體" w:eastAsia="標楷體" w:hAnsi="標楷體" w:cs="新細明體"/>
                <w:color w:val="000000"/>
                <w:kern w:val="0"/>
                <w:szCs w:val="24"/>
              </w:rPr>
              <w:t>)</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4</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二</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val="restart"/>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跨域課程</w:t>
            </w:r>
          </w:p>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文化創意事業系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文化資產與提案</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一</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選修</w:t>
            </w:r>
          </w:p>
        </w:tc>
        <w:tc>
          <w:tcPr>
            <w:tcW w:w="1430" w:type="dxa"/>
            <w:vMerge w:val="restart"/>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至少修習</w:t>
            </w:r>
            <w:r>
              <w:rPr>
                <w:rFonts w:ascii="標楷體" w:eastAsia="標楷體" w:hAnsi="標楷體" w:cs="新細明體"/>
                <w:color w:val="000000"/>
                <w:kern w:val="0"/>
                <w:szCs w:val="24"/>
              </w:rPr>
              <w:t>1</w:t>
            </w:r>
            <w:r>
              <w:rPr>
                <w:rFonts w:ascii="標楷體" w:eastAsia="標楷體" w:hAnsi="標楷體" w:cs="新細明體"/>
                <w:color w:val="000000"/>
                <w:kern w:val="0"/>
                <w:szCs w:val="24"/>
              </w:rPr>
              <w:t>門</w:t>
            </w:r>
          </w:p>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文化創意事業系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文創多媒材繪畫</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一</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選修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文化創意事業系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電子報編採</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一</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選修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文化創意事業系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文創產品市場效益評估</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二</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選修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pPr>
            <w:r>
              <w:rPr>
                <w:rFonts w:ascii="標楷體" w:eastAsia="標楷體" w:hAnsi="標楷體" w:cs="新細明體"/>
                <w:color w:val="000000"/>
                <w:kern w:val="0"/>
                <w:szCs w:val="24"/>
              </w:rPr>
              <w:t>文化創意事業系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 xml:space="preserve">AI </w:t>
            </w:r>
            <w:r>
              <w:rPr>
                <w:rFonts w:ascii="標楷體" w:eastAsia="標楷體" w:hAnsi="標楷體" w:cs="新細明體"/>
                <w:color w:val="000000"/>
                <w:kern w:val="0"/>
                <w:szCs w:val="24"/>
              </w:rPr>
              <w:t>互動藝術程式設計</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一</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pPr>
            <w:r>
              <w:rPr>
                <w:rFonts w:ascii="標楷體" w:eastAsia="標楷體" w:hAnsi="標楷體" w:cs="新細明體"/>
                <w:color w:val="000000"/>
                <w:kern w:val="0"/>
                <w:szCs w:val="24"/>
              </w:rPr>
              <w:t>文化創意事業系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 xml:space="preserve">3D </w:t>
            </w:r>
            <w:r>
              <w:rPr>
                <w:rFonts w:ascii="標楷體" w:eastAsia="標楷體" w:hAnsi="標楷體" w:cs="新細明體"/>
                <w:color w:val="000000"/>
                <w:kern w:val="0"/>
                <w:szCs w:val="24"/>
              </w:rPr>
              <w:t>動畫設計</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二</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選修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應用英語系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網頁設計</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二</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選修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應用英語系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創意英文寫作</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二</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選修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應用英語系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會展英文</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二</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選修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應用英語系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創意設計英文</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二</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選修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景觀系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空間設計賞析與體驗</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一</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選修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景觀系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電腦繪圖</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二</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選修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景觀系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創意設計與方法</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二</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選修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景觀系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kern w:val="0"/>
                <w:szCs w:val="24"/>
              </w:rPr>
              <w:t>景觀學概論</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一</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val="restart"/>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實踐課程</w:t>
            </w:r>
          </w:p>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文化創意事業系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攝錄影實務</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一</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選修</w:t>
            </w:r>
          </w:p>
        </w:tc>
        <w:tc>
          <w:tcPr>
            <w:tcW w:w="1430" w:type="dxa"/>
            <w:vMerge w:val="restart"/>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至少修習</w:t>
            </w:r>
            <w:r>
              <w:rPr>
                <w:rFonts w:ascii="標楷體" w:eastAsia="標楷體" w:hAnsi="標楷體" w:cs="新細明體"/>
                <w:color w:val="000000"/>
                <w:kern w:val="0"/>
                <w:szCs w:val="24"/>
              </w:rPr>
              <w:t>1</w:t>
            </w:r>
            <w:r>
              <w:rPr>
                <w:rFonts w:ascii="標楷體" w:eastAsia="標楷體" w:hAnsi="標楷體" w:cs="新細明體"/>
                <w:color w:val="000000"/>
                <w:kern w:val="0"/>
                <w:szCs w:val="24"/>
              </w:rPr>
              <w:t>門</w:t>
            </w:r>
          </w:p>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文化創意事業系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地方特色與產品設計</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三</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選修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文化創意事業系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整合行銷傳播</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三</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選修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文化創意事業系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網路行銷實務</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三</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選修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pPr>
            <w:r>
              <w:rPr>
                <w:rFonts w:ascii="標楷體" w:eastAsia="標楷體" w:hAnsi="標楷體" w:cs="新細明體"/>
                <w:color w:val="000000"/>
                <w:kern w:val="0"/>
                <w:szCs w:val="24"/>
              </w:rPr>
              <w:t>文化創意事業系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社群電子商務</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四</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選修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pPr>
            <w:r>
              <w:rPr>
                <w:rFonts w:ascii="標楷體" w:eastAsia="標楷體" w:hAnsi="標楷體" w:cs="新細明體"/>
                <w:color w:val="000000"/>
                <w:kern w:val="0"/>
                <w:szCs w:val="24"/>
              </w:rPr>
              <w:t>文化創意事業系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進階影音操作</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二</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必修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應用英語系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會展規劃與行銷</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二</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選修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應用英語系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文化產業與觀光</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三</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選修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應用英語系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商務溝通</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三</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jc w:val="center"/>
            </w:pPr>
            <w:r>
              <w:rPr>
                <w:rFonts w:ascii="標楷體" w:eastAsia="標楷體" w:hAnsi="標楷體" w:cs="新細明體"/>
                <w:color w:val="000000"/>
                <w:kern w:val="0"/>
                <w:szCs w:val="24"/>
              </w:rPr>
              <w:t>選修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應用英語系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電子商務</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二</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jc w:val="center"/>
            </w:pPr>
            <w:r>
              <w:rPr>
                <w:rFonts w:ascii="標楷體" w:eastAsia="標楷體" w:hAnsi="標楷體" w:cs="新細明體"/>
                <w:color w:val="000000"/>
                <w:kern w:val="0"/>
                <w:szCs w:val="24"/>
              </w:rPr>
              <w:t>選修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景觀系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環境行為與觀察</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3</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二</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jc w:val="center"/>
            </w:pPr>
            <w:r>
              <w:rPr>
                <w:rFonts w:ascii="標楷體" w:eastAsia="標楷體" w:hAnsi="標楷體" w:cs="新細明體"/>
                <w:color w:val="000000"/>
                <w:kern w:val="0"/>
                <w:szCs w:val="24"/>
              </w:rPr>
              <w:t>選修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景觀系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區域及綠地計畫</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四</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tcPr>
          <w:p w:rsidR="00D37F1A" w:rsidRDefault="005C3E89">
            <w:pPr>
              <w:pStyle w:val="Standard"/>
              <w:jc w:val="center"/>
            </w:pPr>
            <w:r>
              <w:rPr>
                <w:rFonts w:ascii="標楷體" w:eastAsia="標楷體" w:hAnsi="標楷體" w:cs="新細明體"/>
                <w:color w:val="000000"/>
                <w:kern w:val="0"/>
                <w:szCs w:val="24"/>
              </w:rPr>
              <w:t>選修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景觀系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社區營造與實習</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3</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二</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下</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選修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r w:rsidR="00D37F1A">
        <w:tblPrEx>
          <w:tblCellMar>
            <w:top w:w="0" w:type="dxa"/>
            <w:bottom w:w="0" w:type="dxa"/>
          </w:tblCellMar>
        </w:tblPrEx>
        <w:trPr>
          <w:trHeight w:val="420"/>
        </w:trPr>
        <w:tc>
          <w:tcPr>
            <w:tcW w:w="958"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c>
          <w:tcPr>
            <w:tcW w:w="1876"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景觀系</w:t>
            </w:r>
          </w:p>
        </w:tc>
        <w:tc>
          <w:tcPr>
            <w:tcW w:w="1830"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pPr>
            <w:r>
              <w:rPr>
                <w:rFonts w:ascii="標楷體" w:eastAsia="標楷體" w:hAnsi="標楷體" w:cs="新細明體"/>
                <w:color w:val="000000"/>
                <w:kern w:val="0"/>
                <w:szCs w:val="24"/>
              </w:rPr>
              <w:t>快速設計</w:t>
            </w:r>
          </w:p>
        </w:tc>
        <w:tc>
          <w:tcPr>
            <w:tcW w:w="87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2</w:t>
            </w:r>
          </w:p>
        </w:tc>
        <w:tc>
          <w:tcPr>
            <w:tcW w:w="1189"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四</w:t>
            </w:r>
          </w:p>
        </w:tc>
        <w:tc>
          <w:tcPr>
            <w:tcW w:w="113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上</w:t>
            </w:r>
          </w:p>
        </w:tc>
        <w:tc>
          <w:tcPr>
            <w:tcW w:w="116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D37F1A" w:rsidRDefault="005C3E89">
            <w:pPr>
              <w:pStyle w:val="Standard"/>
              <w:widowControl/>
              <w:jc w:val="center"/>
            </w:pPr>
            <w:r>
              <w:rPr>
                <w:rFonts w:ascii="標楷體" w:eastAsia="標楷體" w:hAnsi="標楷體" w:cs="新細明體"/>
                <w:color w:val="000000"/>
                <w:kern w:val="0"/>
                <w:szCs w:val="24"/>
              </w:rPr>
              <w:t>選修</w:t>
            </w:r>
          </w:p>
        </w:tc>
        <w:tc>
          <w:tcPr>
            <w:tcW w:w="1430" w:type="dxa"/>
            <w:vMerge/>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000000" w:rsidRDefault="005C3E89"/>
        </w:tc>
      </w:tr>
    </w:tbl>
    <w:p w:rsidR="00D37F1A" w:rsidRDefault="00D37F1A">
      <w:pPr>
        <w:pStyle w:val="Standard"/>
      </w:pPr>
    </w:p>
    <w:sectPr w:rsidR="00D37F1A">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E89" w:rsidRDefault="005C3E89">
      <w:r>
        <w:separator/>
      </w:r>
    </w:p>
  </w:endnote>
  <w:endnote w:type="continuationSeparator" w:id="0">
    <w:p w:rsidR="005C3E89" w:rsidRDefault="005C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E89" w:rsidRDefault="005C3E89">
      <w:r>
        <w:rPr>
          <w:color w:val="000000"/>
        </w:rPr>
        <w:separator/>
      </w:r>
    </w:p>
  </w:footnote>
  <w:footnote w:type="continuationSeparator" w:id="0">
    <w:p w:rsidR="005C3E89" w:rsidRDefault="005C3E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B78FD"/>
    <w:multiLevelType w:val="multilevel"/>
    <w:tmpl w:val="CD6090F4"/>
    <w:styleLink w:val="WWNum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C8041CC"/>
    <w:multiLevelType w:val="multilevel"/>
    <w:tmpl w:val="D716077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68F67DC2"/>
    <w:multiLevelType w:val="multilevel"/>
    <w:tmpl w:val="992A632E"/>
    <w:styleLink w:val="WWNum1"/>
    <w:lvl w:ilvl="0">
      <w:start w:val="1"/>
      <w:numFmt w:val="japaneseCounting"/>
      <w:lvlText w:val="%1、"/>
      <w:lvlJc w:val="left"/>
      <w:pPr>
        <w:ind w:left="48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37F1A"/>
    <w:rsid w:val="003C573E"/>
    <w:rsid w:val="005C3E89"/>
    <w:rsid w:val="00D37F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C875C3-6AD7-4E9B-939B-3C8597DA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character" w:customStyle="1" w:styleId="a6">
    <w:name w:val="清單段落 字元"/>
  </w:style>
  <w:style w:type="character" w:customStyle="1" w:styleId="ListLabel1">
    <w:name w:val="ListLabel 1"/>
    <w:rPr>
      <w:rFonts w:ascii="Times New Roman" w:eastAsia="標楷體" w:hAnsi="Times New Roman" w:cs="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2024-02-01T05:48:00Z</dcterms:created>
  <dcterms:modified xsi:type="dcterms:W3CDTF">2024-02-01T05:48:00Z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